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78 vom 19. Januar 2026</w:t>
      </w:r>
    </w:p>
    <w:p>
      <w:r>
        <w:t>ZG Obergericht, 2026-01-19, DE</w:t>
      </w:r>
    </w:p>
    <w:p>
      <w:r>
        <w:rPr>
          <w:b/>
        </w:rPr>
        <w:t xml:space="preserve">Quelle: </w:t>
      </w:r>
      <w:r>
        <w:t>https://mcp.opencaselaw.ch/entscheid/zg_obergericht_BS 2025 78</w:t>
      </w:r>
    </w:p>
    <w:p>
      <w:r>
        <w:t>FR: ZG_OBERGERICHT BS 2025 78 du 19 janvier 2026</w:t>
      </w:r>
    </w:p>
    <w:p>
      <w:r>
        <w:t>IT: ZG_OBERGERICHT BS 2025 78 del 19 gennaio 2026</w:t>
      </w:r>
    </w:p>
    <w:p>
      <w:pPr>
        <w:pStyle w:val="Heading2"/>
      </w:pPr>
      <w:r>
        <w:t>Erwägungen</w:t>
      </w:r>
    </w:p>
    <w:p>
      <w:r>
        <w:rPr>
          <w:b/>
        </w:rPr>
        <w:t>E. 2</w:t>
      </w:r>
    </w:p>
    <w:p>
      <w:r>
        <w:t>Zunächst sind die Eintretensvoraussetzungen zu prüfen.</w:t>
      </w:r>
    </w:p>
    <w:p>
      <w:r>
        <w:rPr>
          <w:b/>
        </w:rPr>
        <w:t>E. 2.1</w:t>
      </w:r>
    </w:p>
    <w:p>
      <w:r>
        <w:t>Die Strafanzeige vom 30. September 2024 ersetzt gemäss dem Beschwerdeführer diejenige vom 22. April 2024 vollumfänglich. Bezüglich der einzig in der erstgenannten Eingabe er- wähnten Vorwürfe der Bestechung, des Amtsmissbrauchs sowie der Erschleichung einer fal- schen Beurkundung hat der Beschwerdeführer seine Vorwürfe mithin nicht erneuert bzw. zurückgezogen. Folglich sind diese Vorwürfe nicht Gegenstand der angefochtene Nichtan- handnahmeverfügung und im vorliegenden Beschwerdeverfahren ist auch nicht weiter darauf einzugehen.</w:t>
      </w:r>
    </w:p>
    <w:p>
      <w:r>
        <w:rPr>
          <w:b/>
        </w:rPr>
        <w:t>E. 2.2</w:t>
      </w:r>
    </w:p>
    <w:p>
      <w:r>
        <w:t>Gemäss dem Antrag des Beschwerdeführers ist die angefochtene Nichtanhandnahmeverfü- gung vollumfänglich aufzuheben. In der Beschwerdebegründung nimmt der Beschwerdefüh- rer aber einzig auf die Erwägungen der Staatsanwaltschaft zum Tatbestand des Betruges Bezug. Zu den Ausführungen der Staatsanwaltschaft, weshalb die Strafuntersuchung wegen Urkundenfälschung, ungetreuer Geschäftsbesorgung und Geldwäscherei nicht an die Hand</w:t>
      </w:r>
    </w:p>
    <w:p>
      <w:r>
        <w:t>Seite 6/11 genommen wird, äussert sich der Beschwerdeführer hingegen nicht. Hinsichtlich dieser Tat- bestände genügt die Beschwerdeschrift den gesetzlichen Anforderungen nicht, da der Be- schwerdeführer nicht darlegt, welche Gründe einen anderen Entscheid der Staatsanwalt- schaft nahelegen könnten. Soweit die Beschwerde diese Tatbestände betrifft, ist darauf mangels hinreichender Begründung nicht einzutreten. 2.3.1 Sodann stellt sich die Frage, ob der Beschwerdeführer hinsichtlich der Nichtanhandnahme wegen Betrugs zur Beschwerde legitimiert ist. Der Beschwerdeführer macht sinngemäss gel- tend, die Beschuldigten hätten durch den von ihnen angestrebten Verkauf die Bezahlung der Grundstückgewinnsteuer von bis zu 40% umgehen wollen (act. 1 Rz. 4). Im Falle eines Steuerbetrugs wäre der AC.________ Staat geschädigt. Inwiefern der Beschwerdeführer da- durch in seinen eigenen Rechten unmittelbar und direkt betroffen sein soll, ist nicht ersicht- lich. 2.3.2 Der Beschwerdeführer lässt weiter vortragen, die vier Beschuldigten hätten sich auf ein ge- fährliches Spiel eingelassen, zeige doch der Verkaufsprospekt in klarer Weise, dass er an das Milieu der Grosskriminalität gerichtet sei. Sollten diese Leute in den Besitz der fraglichen Aktien kommen und nachher merken, dass die fraglichen Aktien "Non-valeurs" seien, so "Gnade Gott" nicht nur den vier Beschuldigten, sondern auch dem Beschwerdeführer, von dem dann mehr oder weniger gewaltsam die Übertragung der Aktien verlangt werde. Der Be- schwerdeführer sei damit nicht nur in seinen finanziellen Interessen, sondern auch in seinem Anspruch auf körperliche Unversehrtheit und Leib und Leben bedroht (act. 1 Rz. 5). Auch mit diesen Ausführungen vermag der Beschwerdeführer seine Legitimation zur Be- schwerdeführung nicht aufzuzeigen. Denn einerseits handelt es sich dabei um blosse Speku- lationen, für welche jegliche faktische Grundlage fehlt. Andererseits würde diese fiktive Be- drohungslage bloss eine Reflexwirkung des fraglichen Verkaufsgeschäfts darstellen und ein tatsächliches Interesse des Beschwerdeführers begründen. Ein solches berechtigt aber nicht zur Beschwerdeführung. Eine unmittelbare und direkte Betroffenheit des Beschwerdeführers in seinen eigenen Rechten ist auch darin nicht zu erblicken. 2.3.3 Der Beschwerdeführer führt weiter aus, die Beschuldigten hätten "auch den Beschwerdefüh- rer um seinen 50% Anteil an der P.________ betrügen" wollen (act. 1 Rz. 4). Wie genau dies geschehen sollte, führt der Beschwerdeführer allerdings nicht aus und dies ist auch nicht er- sichtlich. Denn selbst wenn die Beschuldigten in der fraglichen Kaufbroschüre einen zu ho- hen Verkaufspreis bzw. einen, der auch den Schätzwert der Grundstücke der P.________ beinhaltete, angegeben haben sollten, so ist nicht auszumachen, inwiefern der Beschuldigte dadurch seine Anteilsrechte an dieser Unternehmung verlieren sollte. Die fragliche Verkaufs- broschüre definiert den Verkaufsgegenstand folgendermassen ("Was kaufen Sie?"): "Sie kaufen die Mehrheit des baubewilligten Baulandes mit dem ebenfalls bewilligten Zonen- und Parzellenplan. Ihr Vertragspartner ist die I.________ U.________ S.A. (Muttergesellschaft und Inhaberin von 100% der Aktien), welche 100% der Anteile der J.________ Firma I.________ (Tochtergesellschaft) beinhaltet." Die P.________, an welcher der Beschwerde- führer beteiligt ist, wird überhaupt nicht erwähnt. Zudem wird klargestellt, dass lediglich die Mehrheit und nicht die Gesamtheit des "baubewilligten Baulandes" zum Verkauf steht, was zumindest als Hinweis darauf verstanden werden kann, dass ein Teil des Landes im Eigen- tum der P.________ befindet. Angesichts der Umschreibung des Verkaufsgegenstandes ist</w:t>
      </w:r>
    </w:p>
    <w:p>
      <w:r>
        <w:t>Seite 7/11 jedenfalls nicht erkennbar, weshalb ein potenzieller Investor der Ansicht sein könnte, er hätte 100% der Aktien an der P.________ erworben. Lediglich aus einem angeblich zu hohen Ver- kaufspreis lässt sich dies nicht herleiten. Damit fehlt es auch in dieser Hinsicht an einer un- mittelbaren und direkten Betroffenheit des Beschwerdeführers. 2.3.4 Der Beschwerdeführer wirft den Beschuldigten ferner sinngemäss vor, sie hätten potenzielle Investoren über die erwähnten Eigentumsverhältnisse täuschen und dabei über die ihm gehörenden Anteile an der P.________ verfügen wollen. Auch dieser Standpunkt hilft dem Beschwerdeführer nicht, denn selbst wenn die Beschuldigten Anteile an der P.________ wi- derrechtlich verkauft haben sollten, so hätte der Beschwerdeführer dadurch keinen direkten Schaden erlitten. Die Anteile an der P.________ wurden nach Angaben des Beschwerdefüh- rers von der R.________ gezeichnet und nicht von ihm selbst. Der Beschwerdeführer legt nicht dar, inwiefern er unter diesen Umständen der Träger des geschädigten Vermögens und damit beschwerdelegitimiert sein soll (vgl. BGE 148 IV 170 E. 3.3.1). Auch in dieser Hinsicht fehlt es an einer hinreichenden Begründung in der Beschwerdeschrift. 2.3.5 Zusammenfassend zeigt der Beschwerdeführer in seiner Beschwerdeschrift nicht auf, inwie- fern er durch den von ihm geltend gemachten Betrug in seinen eigenen Rechten unmittelbar und direkt betroffen sein soll. Er hat folglich kein rechtlich geschütztes Interesse an der Auf- hebung der angefochtenen Nichtanhandnahmeverfügung und ist mithin nicht zur Beschwer- deführung legitimiert. Auf die Beschwerde ist auch in diesem Punkt nicht einzutreten.</w:t>
      </w:r>
    </w:p>
    <w:p>
      <w:r>
        <w:rPr>
          <w:b/>
        </w:rPr>
        <w:t>E. 3</w:t>
      </w:r>
    </w:p>
    <w:p>
      <w:r>
        <w:t>Im Übrigen wäre die Beschwerde auch abzuweisen, sofern und soweit darauf eingetreten werden könnte.</w:t>
      </w:r>
    </w:p>
    <w:p>
      <w:r>
        <w:rPr>
          <w:b/>
        </w:rPr>
        <w:t>E. 3.1</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 anhandnahmeverfügung oder einen Strafbefehl erlässt. Gemäss Art. 310 Abs. 1 StPO ver- fügt die Staatsanwaltschaft die Nichtanhandnahme der Untersuchung unter anderem, sobald aufgrund der Strafanzeige oder des Polizeirapports feststeht, dass die fraglichen Straftat- bestände oder die Prozessvoraussetzungen eindeutig nicht erfüllt sind (lit. a) oder wenn Ver- fahrenshindernisse bestehen (lit. b). Die Frage, ob ein Strafverfahren über eine Nichtan- handnahme erledigt werden kann, beurteilt sich nach dem aus dem Legalitätsprinzip abgelei- teten Grundsatz "in dubio pro duriore" (Urteil des Bundesgerichts 6B_158/2021 vom 2. Mai 2022 E. 2.4.1). Danach darf die Nichtanhandnahme nur in sachverhaltsmässig und rechtlich klaren Fällen ergehen (Urteil des Bundesgerichts 7B_637/2023 vom 6. Januar 2025 E. 2.1; 7B_97/2023 vom 13. November 2024 E. 3.1).</w:t>
      </w:r>
    </w:p>
    <w:p>
      <w:r>
        <w:rPr>
          <w:b/>
        </w:rPr>
        <w:t>E. 3.2</w:t>
      </w:r>
    </w:p>
    <w:p>
      <w:r>
        <w:t>Die Staatsanwaltschaft fasste in der Nichtanhandnahmeverfügung zum Tatbestand des ver- suchten Betrugs vorab die Ausführungen des Beschwerdeführers wie folgt zusammen: Der Beschwerdeführer argumentiere, die Beschuldigten hätten sich des versuchten Betrugs schuldig gemacht, indem sie versucht hätten, einen Mehrheitsanteil der AD.________ in ei- ner Verkaufsbroschüre zu veräussern bzw. dies bereits getan hätten. Dabei hätten sie poten- tielle Investoren und Käufer betreffend die Eigentumsverhältnisse der Grundstücke der</w:t>
      </w:r>
    </w:p>
    <w:p>
      <w:r>
        <w:t>Seite 8/11 AD.________ getäuscht. Insbesondere hätten die Beschuldigten auch einen Verkauf der P.________ beabsichtigt, an welcher der Beschwerdeführer hälftig beteiligt sei.</w:t>
      </w:r>
    </w:p>
    <w:p>
      <w:r>
        <w:rPr>
          <w:b/>
        </w:rPr>
        <w:t>E. 3.3</w:t>
      </w:r>
    </w:p>
    <w:p>
      <w:r>
        <w:t>Die Staatsanwaltschaft erwog sodann, dass in der fraglichen Verkaufsbroschüre der Kauf der Mehrheit des bewilligten Lands der AD.________ zu einem Preis von EUR 32 Mio. angebo- ten würde. Gemäss Broschüre sei der Vertragspartner die I.________ SA, welche die Mut- tergesellschaft der I.________ sei. In der Broschüre werde jedoch nicht auf den Verkauf ei- nes Aktienpakets verwiesen. Insbesondere werde ein Verkauf von Aktien der P.________ nicht erwähnt. Auch die Tatsache, dass eine der Broschüren beiliegende Einschätzung eines J.________ Architekten den Gesamtwert der Parzellen der I.________ und der P.________ zusammen auf ca. EUR 32 Mio. schätze, was dem in der Broschüre aufgeführten Kaufpreis entspreche, vermöge keinen objektiv begründeten Anfangsverdacht auf eine betrügerische Handlung der Beschuldigten zu wecken, da diese Tatsache nicht automatisch den Verkauf der Beteiligungen der fraglichen Gesellschaft indiziere. In dieser Hinsicht sei anzumerken, dass es der P.________ als juristischer Person grundsätzlich gestattet sei, ihre Grundstücke zu veräussern, ohne die Einwilligung ihrer Aktionäre einzuholen. Es fehle somit an konkreten Anhaltspunkten dafür, dass die Beschuldigten versucht hätten, mögliche Investoren und Käu- fer über die Eigentumsverhältnisse der Parzellen der AD.________ zu täuschen.</w:t>
      </w:r>
    </w:p>
    <w:p>
      <w:r>
        <w:rPr>
          <w:b/>
        </w:rPr>
        <w:t>E. 3.4</w:t>
      </w:r>
    </w:p>
    <w:p>
      <w:r>
        <w:t>Der Beschwerdeführer wendet dagegen – zusammengefasst und soweit nicht bereits im Rahmen der Eintretensvoraussetzungen thematisiert – ein, die beiden Beilagen 18 und 20 der Strafanzeige stünden im Widerspruch zur staatsanwaltschaftlichen Feststellung in der Erwägung 2.3.3. Die Erwähnung des Verkaufspreises neben der Umschreibung des Ver- kaufsgegenstandes stelle eine sehr hohe Inzidenz dafür dar, dass die Beschuldigten mit ei- ner oder mehreren ihrer M.________ die Aktien dieser Gesellschaften und nicht direkt die Grundstücke der beiden J.________ Tochtergesellschaften hätten verkaufen wollen.</w:t>
      </w:r>
    </w:p>
    <w:p>
      <w:r>
        <w:rPr>
          <w:b/>
        </w:rPr>
        <w:t>E. 3.5</w:t>
      </w:r>
    </w:p>
    <w:p>
      <w:r>
        <w:t>Der Beschwerdeführer vermag mit diesen Ausführungen nicht darzutun, inwiefern bei objek- tiver Betrachtung Anhaltspunkte für einen Betrug vorliegen sollen.</w:t>
      </w:r>
    </w:p>
    <w:p>
      <w:r>
        <w:rPr>
          <w:b/>
        </w:rPr>
        <w:t>E. 3.5.1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Die Täu- schung ist eine unrichtige Erklärung über Tatsachen, die darauf gerichtet ist, bei einem an- dern eine von der Wirklichkeit abweichende Vorstellung hervorzurufen. Die Täuschung muss arglistig sein. Art und Intensität der angewandten Täuschungsmittel müssen sich durch eine gewisse Raffinesse oder Durchtriebenheit auszeichnen und eine erhöhte Gefährlichkeit of- fenbaren. In diesem Sinne liegt nach der Rechtsprechung Arglist vor bei einem Lügengebäu- de, d.h. bei mehrfachen, raffiniert aufeinander abgestimmten Lügen, durch welche sich selbst ein kritisches Opfer täuschen lässt, oder bei besonderen Machenschaften im Sinne von ei- gentlichen Inszenierungen, die durch intensive, planmässige und systematische Vorkehrun- gen, nicht aber notwendigerweise durch eine besondere tatsächliche oder intellektuelle Komplexität gekennzeichnet sind. Bei einfachen falschen Angaben bejaht die Rechtspre- chung Arglist, wenn deren Überprüfung nicht oder nur mit besonderer Mühe möglich oder wenn sie nicht zumutbar ist, wenn der Täter das Opfer von der möglichen Überprüfung abhält</w:t>
      </w:r>
    </w:p>
    <w:p>
      <w:r>
        <w:t>Seite 9/11 oder wenn er nach den Umständen voraussieht, dass jenes die Überprüfung der Angaben aufgrund eines besonderen Vertrauensverhältnisses unterlassen werde (Urteil vom 6B_775/2024 vom 28. August 2025 E. 1.2.2).</w:t>
      </w:r>
    </w:p>
    <w:p>
      <w:r>
        <w:rPr>
          <w:b/>
        </w:rPr>
        <w:t>E. 3.5.2</w:t>
      </w:r>
    </w:p>
    <w:p>
      <w:r>
        <w:t>Im vorliegenden Fall ist nicht ersichtlich, inwiefern die fragliche Verkaufsbroschüre unrichtige Erklärungen über Tatsachen enthalten soll. Sofern angegeben wird, Kaufgegenstand sei "die Mehrheit des baubewilligten Baulandes mit dem ebenfalls bewilligten Zonen- und Parzellen- plan", kann darin keine objektiv unrichtige Erklärung erkannt werden. Im Eigentum der I.________ stehen gemäss den Angaben des Beschwerdeführers Grundstücke des Ge- neralbebauungsplanes der Gemeinde H.________ im Wert von EUR 26'697'817.00, was ei- ne Mehrheit des entsprechenden Baulandes ausmacht. Soweit in der Verkaufsbroschüre festgehalten wird, der Vertragspartner sei die U.________ S.A. (Muttergesellschaft und Inha- berin von 100% der Aktien), welche 100% der Anteile der J.________ Firma I.________ (Tochtergesellschaft) beinhalte, so kann auch darin keine unwahre Tatsache erblickt werden. Schliesslich ist auch irrelevant, ob die Aktien der erwähnten Gesellschaft oder das direkte Eigentum an den fraglichen Grundstücken angepriesen wurde. Hierbei handelt es sich im Wesentlichen um eine Vollzugsmodalität. Zudem deutet ein aktenkundiges Faktenblatt in englischer Sprache darauf hin, dass eine Aktienmehrheit an der I.________ ("AE.________") zum Verkauf angeboten wurde. Anhaltspunkte für unwahre Erklärungen über den Verkaufs- gegenstand sind somit keine auszumachen.</w:t>
      </w:r>
    </w:p>
    <w:p>
      <w:r>
        <w:rPr>
          <w:b/>
        </w:rPr>
        <w:t>E. 3.5.3</w:t>
      </w:r>
    </w:p>
    <w:p>
      <w:r>
        <w:t>Doch selbst wenn die Verkaufsbroschüre unwahre Angaben enthielte, so könnte darin nicht ohne Weiteres ein Anhaltspunkt für eine betrügerische Handlung der Beschuldigten gesehen werden. Denn bei der fraglichen Verkaufsbroschüre handelt es sich um ein zweiseitiges Do- kument, in welchem der Verkauf eines Immobilienprojektes zu einem Preis von EUR 32 Mio. angepriesen wird. Es ist ausgeschlossen, dass ein potenzieller Investor ausschliesslich ge- stützt auf diese Verkaufsbroschüre eine Vermögensdisposition in genannter Höhe tätigen würde. Vielmehr erfordern Immobilieninvestitionen in dieser Höhe immer weitergehende Ab- klärungen. Zudem wird auch in AF.________ ein öffentliches Grundbuch (AG.________) ge- führt und es ist bei berechtigtem Interesse möglich, einen Grundbuchauszug zu erhalten. So- fern die Verkaufsbroschüre unwahre Angaben über die Eigentumsverhältnisse der fraglichen Grundstücke enthalten hätte, so hätte ein potentieller Investor diese ohne besondere Mühe überprüfen können. Es bestehen auch keine Anhaltspunkte dafür, dass die Beschuldigten die Investoren von einer möglichen Überprüfung abgehalten bzw. vorausgesehen hätten, dass diese die Überprüfung der Angaben aufgrund eines besonderen Vertrauensverhältnisses un- terlassen würden. Mithin fehlen jedwelche Hinweise auf ein arglistiges Verhalten.</w:t>
      </w:r>
    </w:p>
    <w:p>
      <w:r>
        <w:rPr>
          <w:b/>
        </w:rPr>
        <w:t>E. 3.5.4</w:t>
      </w:r>
    </w:p>
    <w:p>
      <w:r>
        <w:t>Vor diesem Hintergrund kann schliesslich offengelassen werden, ob die vorliegende Konstel- lation, bei welcher der Geschädigte weder Getäuschter noch Verfügender ist und in keinem Näheverhältnis zum Getäuschten steht, theoretisch einen "Dreiecksbetrug" begründen könn- te. Angesichts der Rechtsnatur des Betruges als Selbstschädigungsdelikts scheint dies zu- mindest fraglich (vgl. BGE 133 IV 171 E. 4.3).</w:t>
      </w:r>
    </w:p>
    <w:p>
      <w:r>
        <w:rPr>
          <w:b/>
        </w:rPr>
        <w:t>E. 4</w:t>
      </w:r>
    </w:p>
    <w:p>
      <w:r>
        <w:t>Im Beschwerdeverfahren tragen die Parteien die Kosten grundsätzlich nach Massgabe ihres Obsiegens oder Unterliegens (Art. 428 Abs. 1 Satz 1 StPO). Nachdem der Beschwerdeführer vollumfänglich unterliegt, sind ihm die gesamten Verfahrenskosten aufzuerlegen. Den Be-</w:t>
      </w:r>
    </w:p>
    <w:p>
      <w:r>
        <w:t>Seite 10/11 schuldigten, welche sich im Beschwerdeverfahren nicht vernehmen liessen, ist keine Ent- schädigung auszurichten.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